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1D5E" w14:textId="77777777" w:rsidR="006126B4" w:rsidRPr="00976A86" w:rsidRDefault="006126B4" w:rsidP="006126B4">
      <w:pPr>
        <w:jc w:val="right"/>
        <w:rPr>
          <w:b/>
          <w:bCs/>
        </w:rPr>
      </w:pPr>
      <w:bookmarkStart w:id="0" w:name="_GoBack"/>
      <w:bookmarkEnd w:id="0"/>
      <w:r w:rsidRPr="00976A86">
        <w:rPr>
          <w:b/>
          <w:bCs/>
        </w:rPr>
        <w:t>February 24, 2020</w:t>
      </w:r>
    </w:p>
    <w:p w14:paraId="7376518D" w14:textId="77777777" w:rsidR="00CB69D3" w:rsidRDefault="00CB69D3" w:rsidP="006126B4">
      <w:pPr>
        <w:rPr>
          <w:b/>
          <w:bCs/>
        </w:rPr>
      </w:pPr>
    </w:p>
    <w:p w14:paraId="1614ECEF" w14:textId="45F21757" w:rsidR="006126B4" w:rsidRPr="00A5350D" w:rsidRDefault="006126B4" w:rsidP="006126B4">
      <w:pPr>
        <w:rPr>
          <w:b/>
          <w:bCs/>
        </w:rPr>
      </w:pPr>
      <w:r w:rsidRPr="00976A86">
        <w:rPr>
          <w:b/>
          <w:bCs/>
        </w:rPr>
        <w:t>TO:</w:t>
      </w:r>
      <w:r w:rsidRPr="00976A86">
        <w:rPr>
          <w:b/>
          <w:bCs/>
        </w:rPr>
        <w:tab/>
      </w:r>
      <w:r w:rsidRPr="00A5350D">
        <w:rPr>
          <w:b/>
          <w:bCs/>
        </w:rPr>
        <w:t xml:space="preserve">Ron </w:t>
      </w:r>
      <w:proofErr w:type="spellStart"/>
      <w:r w:rsidRPr="00A5350D">
        <w:rPr>
          <w:b/>
          <w:bCs/>
        </w:rPr>
        <w:t>Ryckman</w:t>
      </w:r>
      <w:proofErr w:type="spellEnd"/>
      <w:r w:rsidRPr="00A5350D">
        <w:rPr>
          <w:b/>
          <w:bCs/>
        </w:rPr>
        <w:t>, Speaker of the Kansas House of Representatives</w:t>
      </w:r>
    </w:p>
    <w:p w14:paraId="3BD24219" w14:textId="4DAC22D5" w:rsidR="006126B4" w:rsidRPr="00A5350D" w:rsidRDefault="006126B4" w:rsidP="006126B4">
      <w:pPr>
        <w:rPr>
          <w:b/>
          <w:bCs/>
        </w:rPr>
      </w:pPr>
      <w:r w:rsidRPr="00A5350D">
        <w:rPr>
          <w:b/>
          <w:bCs/>
        </w:rPr>
        <w:tab/>
        <w:t>Blaine Finch, Speaker Pro Tem</w:t>
      </w:r>
      <w:r w:rsidR="00976A86" w:rsidRPr="00A5350D">
        <w:rPr>
          <w:b/>
          <w:bCs/>
        </w:rPr>
        <w:t xml:space="preserve"> of the Kansas House of Representatives</w:t>
      </w:r>
    </w:p>
    <w:p w14:paraId="289D5FB4" w14:textId="77777777" w:rsidR="00A5350D" w:rsidRPr="00A5350D" w:rsidRDefault="00A5350D" w:rsidP="00A5350D">
      <w:pPr>
        <w:rPr>
          <w:b/>
          <w:szCs w:val="24"/>
        </w:rPr>
      </w:pPr>
      <w:r w:rsidRPr="00A5350D">
        <w:rPr>
          <w:b/>
          <w:bCs/>
        </w:rPr>
        <w:tab/>
      </w:r>
      <w:r w:rsidRPr="00A5350D">
        <w:rPr>
          <w:b/>
          <w:szCs w:val="24"/>
        </w:rPr>
        <w:t>House Majority Leader Dan Hawkins</w:t>
      </w:r>
    </w:p>
    <w:p w14:paraId="386D443F" w14:textId="77777777" w:rsidR="00A5350D" w:rsidRPr="00A5350D" w:rsidRDefault="00A5350D" w:rsidP="00A5350D">
      <w:pPr>
        <w:ind w:firstLine="720"/>
        <w:rPr>
          <w:b/>
          <w:szCs w:val="24"/>
        </w:rPr>
      </w:pPr>
      <w:r w:rsidRPr="00A5350D">
        <w:rPr>
          <w:b/>
          <w:szCs w:val="24"/>
        </w:rPr>
        <w:t>House Minority Leader Tom Sawyer</w:t>
      </w:r>
    </w:p>
    <w:p w14:paraId="58EAFBFC" w14:textId="0B16A33B" w:rsidR="00976A86" w:rsidRPr="00A5350D" w:rsidRDefault="006126B4" w:rsidP="006126B4">
      <w:pPr>
        <w:rPr>
          <w:b/>
          <w:bCs/>
        </w:rPr>
      </w:pPr>
      <w:r w:rsidRPr="00A5350D">
        <w:rPr>
          <w:b/>
          <w:bCs/>
        </w:rPr>
        <w:tab/>
        <w:t>Susan Wagle, President of the Kansas Senate</w:t>
      </w:r>
    </w:p>
    <w:p w14:paraId="5A405560" w14:textId="45D1204C" w:rsidR="00A5350D" w:rsidRPr="00A5350D" w:rsidRDefault="00A5350D" w:rsidP="00A5350D">
      <w:pPr>
        <w:rPr>
          <w:b/>
          <w:szCs w:val="24"/>
        </w:rPr>
      </w:pPr>
      <w:r w:rsidRPr="00A5350D">
        <w:rPr>
          <w:b/>
          <w:bCs/>
        </w:rPr>
        <w:tab/>
      </w:r>
      <w:r w:rsidRPr="00A5350D">
        <w:rPr>
          <w:b/>
          <w:szCs w:val="24"/>
        </w:rPr>
        <w:t xml:space="preserve">Senate Vice President Jeff </w:t>
      </w:r>
      <w:proofErr w:type="spellStart"/>
      <w:r w:rsidRPr="00A5350D">
        <w:rPr>
          <w:b/>
          <w:szCs w:val="24"/>
        </w:rPr>
        <w:t>Longbine</w:t>
      </w:r>
      <w:proofErr w:type="spellEnd"/>
    </w:p>
    <w:p w14:paraId="30EC328D" w14:textId="77777777" w:rsidR="00A5350D" w:rsidRPr="00A5350D" w:rsidRDefault="00A5350D" w:rsidP="00A5350D">
      <w:pPr>
        <w:rPr>
          <w:b/>
          <w:szCs w:val="24"/>
        </w:rPr>
      </w:pPr>
      <w:r w:rsidRPr="00A5350D">
        <w:rPr>
          <w:b/>
          <w:szCs w:val="24"/>
        </w:rPr>
        <w:tab/>
        <w:t>Senate Minority Leader Anthony Hensley</w:t>
      </w:r>
    </w:p>
    <w:p w14:paraId="586ECFB5" w14:textId="341FC672" w:rsidR="006126B4" w:rsidRPr="00A5350D" w:rsidRDefault="00982789" w:rsidP="006126B4">
      <w:pPr>
        <w:rPr>
          <w:b/>
          <w:bCs/>
        </w:rPr>
      </w:pPr>
      <w:r w:rsidRPr="00A5350D">
        <w:rPr>
          <w:b/>
          <w:bCs/>
        </w:rPr>
        <w:tab/>
        <w:t xml:space="preserve">Jim </w:t>
      </w:r>
      <w:r w:rsidR="006126B4" w:rsidRPr="00A5350D">
        <w:rPr>
          <w:b/>
          <w:bCs/>
        </w:rPr>
        <w:t>Denning, Senate Majority Leader</w:t>
      </w:r>
    </w:p>
    <w:p w14:paraId="2E2329F9" w14:textId="77777777" w:rsidR="006126B4" w:rsidRPr="00976A86" w:rsidRDefault="006126B4" w:rsidP="006126B4">
      <w:pPr>
        <w:rPr>
          <w:b/>
          <w:bCs/>
        </w:rPr>
      </w:pPr>
    </w:p>
    <w:p w14:paraId="160DF96B" w14:textId="77777777" w:rsidR="006126B4" w:rsidRPr="00976A86" w:rsidRDefault="006126B4" w:rsidP="006126B4">
      <w:pPr>
        <w:rPr>
          <w:b/>
          <w:bCs/>
        </w:rPr>
      </w:pPr>
      <w:r w:rsidRPr="00976A86">
        <w:rPr>
          <w:b/>
          <w:bCs/>
        </w:rPr>
        <w:t>FR:</w:t>
      </w:r>
      <w:r w:rsidRPr="00976A86">
        <w:rPr>
          <w:b/>
          <w:bCs/>
        </w:rPr>
        <w:tab/>
        <w:t>Bill Rich*</w:t>
      </w:r>
    </w:p>
    <w:p w14:paraId="31264E0C" w14:textId="77777777" w:rsidR="006126B4" w:rsidRPr="00976A86" w:rsidRDefault="006126B4" w:rsidP="007859A0">
      <w:pPr>
        <w:ind w:firstLine="720"/>
        <w:rPr>
          <w:b/>
          <w:bCs/>
        </w:rPr>
      </w:pPr>
    </w:p>
    <w:p w14:paraId="258CE379" w14:textId="77777777" w:rsidR="006126B4" w:rsidRPr="00976A86" w:rsidRDefault="00A9274C" w:rsidP="00A9274C">
      <w:pPr>
        <w:rPr>
          <w:b/>
          <w:bCs/>
        </w:rPr>
      </w:pPr>
      <w:r w:rsidRPr="00976A86">
        <w:rPr>
          <w:b/>
          <w:bCs/>
        </w:rPr>
        <w:t>RE:</w:t>
      </w:r>
      <w:r w:rsidRPr="00976A86">
        <w:rPr>
          <w:b/>
          <w:bCs/>
        </w:rPr>
        <w:tab/>
        <w:t>Interpretation of the Kansas State Constitution and Abortion Funding Decisions</w:t>
      </w:r>
    </w:p>
    <w:p w14:paraId="28FF6CE1" w14:textId="77777777" w:rsidR="00A9274C" w:rsidRDefault="00A9274C" w:rsidP="00A9274C"/>
    <w:p w14:paraId="6A00B7FF" w14:textId="2F0D48A4" w:rsidR="0018748F" w:rsidRDefault="00A9274C" w:rsidP="00813BFF">
      <w:pPr>
        <w:ind w:firstLine="720"/>
      </w:pPr>
      <w:r>
        <w:t xml:space="preserve">When </w:t>
      </w:r>
      <w:r w:rsidR="00982789">
        <w:t>considering amendments to</w:t>
      </w:r>
      <w:r>
        <w:t xml:space="preserve"> the Kansas State Constitution, </w:t>
      </w:r>
      <w:r w:rsidR="00982789">
        <w:t>we should all insist upon accuracy and clarity of information considered relevant by those charged with making such decision</w:t>
      </w:r>
      <w:r w:rsidR="00263C4F">
        <w:t>s</w:t>
      </w:r>
      <w:r w:rsidR="00982789">
        <w:t xml:space="preserve">.  This makes it particularly important to respond when it appears that some written communications intentionally fail to </w:t>
      </w:r>
      <w:r w:rsidR="005049A8">
        <w:t>tell the full story,</w:t>
      </w:r>
      <w:r w:rsidR="00B54A95">
        <w:rPr>
          <w:rStyle w:val="FootnoteReference"/>
        </w:rPr>
        <w:footnoteReference w:id="1"/>
      </w:r>
      <w:r w:rsidR="005049A8">
        <w:t xml:space="preserve"> </w:t>
      </w:r>
      <w:r w:rsidR="0092653D">
        <w:t>provoking</w:t>
      </w:r>
      <w:r w:rsidR="005049A8">
        <w:t xml:space="preserve"> </w:t>
      </w:r>
      <w:r w:rsidR="0092653D">
        <w:t>unwarranted and</w:t>
      </w:r>
      <w:r w:rsidR="00813BFF">
        <w:t xml:space="preserve"> </w:t>
      </w:r>
      <w:r w:rsidR="005049A8">
        <w:t>ala</w:t>
      </w:r>
      <w:r w:rsidR="00813BFF">
        <w:t>rmist reactions</w:t>
      </w:r>
      <w:r w:rsidR="005049A8">
        <w:t>.  Specifically</w:t>
      </w:r>
      <w:r w:rsidR="00813BFF">
        <w:t>, when</w:t>
      </w:r>
      <w:r w:rsidR="005049A8">
        <w:t xml:space="preserve"> predicting Kansas Supreme Court interpretations of Medicaid funding for abortions, no one should be led to believe that state Medicaid funds would be used to fund elective abortions</w:t>
      </w:r>
      <w:r w:rsidR="00813BFF">
        <w:t>.</w:t>
      </w:r>
    </w:p>
    <w:p w14:paraId="389F9DAF" w14:textId="0DE39088" w:rsidR="00446C57" w:rsidRDefault="00813BFF" w:rsidP="007859A0">
      <w:pPr>
        <w:pStyle w:val="NormalWeb"/>
        <w:spacing w:before="120" w:beforeAutospacing="0" w:after="120" w:afterAutospacing="0"/>
        <w:ind w:firstLine="720"/>
      </w:pPr>
      <w:r>
        <w:t xml:space="preserve">Failure to distinguish between </w:t>
      </w:r>
      <w:r w:rsidRPr="00121809">
        <w:t>elective</w:t>
      </w:r>
      <w:r>
        <w:t xml:space="preserve"> abortions and those deemed medically necessary (as narrowly defined) distorts the picture of </w:t>
      </w:r>
      <w:r w:rsidR="0092653D">
        <w:t>existing case law.</w:t>
      </w:r>
      <w:r w:rsidR="00446C57">
        <w:t xml:space="preserve">  </w:t>
      </w:r>
      <w:r w:rsidR="007B45D1">
        <w:t xml:space="preserve">With </w:t>
      </w:r>
      <w:r w:rsidR="00491007">
        <w:t>limited exception</w:t>
      </w:r>
      <w:r w:rsidR="0002329F">
        <w:t>s</w:t>
      </w:r>
      <w:r>
        <w:t xml:space="preserve"> in cases </w:t>
      </w:r>
      <w:r w:rsidR="00491007">
        <w:t>that would not apply to questions about Medicaid funding in Kansas</w:t>
      </w:r>
      <w:r w:rsidR="007B45D1">
        <w:t>,</w:t>
      </w:r>
      <w:r w:rsidR="00721DCE">
        <w:rPr>
          <w:rStyle w:val="FootnoteReference"/>
        </w:rPr>
        <w:footnoteReference w:id="2"/>
      </w:r>
      <w:r w:rsidR="007B45D1">
        <w:t xml:space="preserve"> </w:t>
      </w:r>
      <w:r w:rsidR="00AA0D6C" w:rsidRPr="0092653D">
        <w:rPr>
          <w:i/>
        </w:rPr>
        <w:t>no</w:t>
      </w:r>
      <w:r w:rsidR="007B45D1">
        <w:t xml:space="preserve"> state courts have recognized a right to </w:t>
      </w:r>
      <w:r w:rsidR="00AA0D6C">
        <w:t xml:space="preserve">government-funded </w:t>
      </w:r>
      <w:r w:rsidR="007B45D1" w:rsidRPr="0092653D">
        <w:rPr>
          <w:i/>
        </w:rPr>
        <w:t>elective</w:t>
      </w:r>
      <w:r w:rsidR="007B45D1">
        <w:t xml:space="preserve"> abortions.  </w:t>
      </w:r>
      <w:r w:rsidR="0092653D">
        <w:t>For example, a 1981 Massachusetts opinion ruled only that state funding could not be restricted solely to cases in which a physician certified absence of an abortion could lead to death.</w:t>
      </w:r>
      <w:r w:rsidR="0092653D">
        <w:rPr>
          <w:rStyle w:val="FootnoteReference"/>
        </w:rPr>
        <w:footnoteReference w:id="3"/>
      </w:r>
      <w:r w:rsidR="0092653D">
        <w:t xml:space="preserve"> </w:t>
      </w:r>
      <w:r w:rsidR="00A24F83">
        <w:t>More recently</w:t>
      </w:r>
      <w:r w:rsidR="0092653D">
        <w:t>,</w:t>
      </w:r>
      <w:r w:rsidR="009B700B">
        <w:t xml:space="preserve"> </w:t>
      </w:r>
      <w:r w:rsidR="0092653D">
        <w:t>th</w:t>
      </w:r>
      <w:r w:rsidR="00A24F83">
        <w:t>e Indiana Supreme Court</w:t>
      </w:r>
      <w:r w:rsidR="009B700B">
        <w:t xml:space="preserve"> emphasized the narrowness of its</w:t>
      </w:r>
      <w:r w:rsidR="00A24F83">
        <w:t xml:space="preserve"> conclusion </w:t>
      </w:r>
      <w:r w:rsidR="00F52190">
        <w:t>that only applies</w:t>
      </w:r>
      <w:r w:rsidR="0092653D">
        <w:t xml:space="preserve"> to women “whose pregnancies create serious risk of substantial and irreversible impairment of a major bodily function.”</w:t>
      </w:r>
      <w:r w:rsidR="0092653D">
        <w:rPr>
          <w:rStyle w:val="FootnoteReference"/>
        </w:rPr>
        <w:footnoteReference w:id="4"/>
      </w:r>
      <w:r w:rsidR="0092653D">
        <w:t xml:space="preserve"> </w:t>
      </w:r>
      <w:r w:rsidR="009B700B">
        <w:t xml:space="preserve">All </w:t>
      </w:r>
      <w:r w:rsidR="00121809">
        <w:t xml:space="preserve">courts that recognized state </w:t>
      </w:r>
      <w:r w:rsidR="009B700B">
        <w:t xml:space="preserve">constitutional </w:t>
      </w:r>
      <w:r w:rsidR="00121809">
        <w:t>protection for</w:t>
      </w:r>
      <w:r w:rsidR="009B700B">
        <w:t xml:space="preserve"> a woman’s control over her body </w:t>
      </w:r>
      <w:r w:rsidR="00121809">
        <w:t>limited their holdings t</w:t>
      </w:r>
      <w:r w:rsidR="009B700B">
        <w:t>o the equal right of</w:t>
      </w:r>
      <w:r w:rsidR="001F5B6C">
        <w:t xml:space="preserve"> poor</w:t>
      </w:r>
      <w:r w:rsidR="007B45D1">
        <w:t xml:space="preserve"> women </w:t>
      </w:r>
      <w:r w:rsidR="009B700B">
        <w:t xml:space="preserve">when faced with serious </w:t>
      </w:r>
      <w:r w:rsidR="00DE25DD">
        <w:t>dangers to life or health or</w:t>
      </w:r>
      <w:r w:rsidR="007B45D1">
        <w:t xml:space="preserve"> </w:t>
      </w:r>
      <w:r w:rsidR="009B700B">
        <w:t xml:space="preserve">as </w:t>
      </w:r>
      <w:r w:rsidR="007B45D1">
        <w:t>victims of rape or incest.</w:t>
      </w:r>
      <w:r w:rsidR="00721DCE">
        <w:rPr>
          <w:rStyle w:val="FootnoteReference"/>
        </w:rPr>
        <w:footnoteReference w:id="5"/>
      </w:r>
    </w:p>
    <w:p w14:paraId="5E711990" w14:textId="009DEF4D" w:rsidR="00A24F83" w:rsidRDefault="00121809" w:rsidP="007859A0">
      <w:pPr>
        <w:pStyle w:val="NormalWeb"/>
        <w:spacing w:before="120" w:beforeAutospacing="0" w:after="120" w:afterAutospacing="0"/>
        <w:ind w:firstLine="720"/>
      </w:pPr>
      <w:r>
        <w:t>Protection for women under such circumstances do</w:t>
      </w:r>
      <w:r w:rsidR="00263C4F">
        <w:t>es</w:t>
      </w:r>
      <w:r w:rsidR="00F52190">
        <w:t xml:space="preserve"> not </w:t>
      </w:r>
      <w:r>
        <w:t xml:space="preserve">present novel issues that warrant a frightened response by legislators in this state.  </w:t>
      </w:r>
      <w:r w:rsidR="00A24F83">
        <w:t xml:space="preserve">In 2015, </w:t>
      </w:r>
      <w:r w:rsidR="00DE025D">
        <w:t xml:space="preserve">the </w:t>
      </w:r>
      <w:r>
        <w:t>Kansas Legislature</w:t>
      </w:r>
      <w:r w:rsidR="00DE025D">
        <w:t xml:space="preserve"> recognized </w:t>
      </w:r>
      <w:r w:rsidR="009A4DA5">
        <w:t>the Indiana</w:t>
      </w:r>
      <w:r w:rsidR="00A24F83">
        <w:t xml:space="preserve"> exception to </w:t>
      </w:r>
      <w:r w:rsidR="00DE025D">
        <w:t>abortion restrictions when necessary to prevent a “substantial and irreversible physical impairment of a major bodily function of the pregnant woman.”</w:t>
      </w:r>
      <w:r w:rsidR="00DE025D">
        <w:rPr>
          <w:rStyle w:val="FootnoteReference"/>
        </w:rPr>
        <w:footnoteReference w:id="6"/>
      </w:r>
      <w:r w:rsidR="00DE025D">
        <w:t xml:space="preserve">  In other words, </w:t>
      </w:r>
      <w:r w:rsidR="009A4DA5">
        <w:t xml:space="preserve">Kansas legislation (co-sponsored by Senator Wagle) </w:t>
      </w:r>
      <w:r w:rsidR="00DE025D">
        <w:t xml:space="preserve">already recognizes </w:t>
      </w:r>
      <w:r w:rsidR="009A4DA5">
        <w:t xml:space="preserve">the </w:t>
      </w:r>
      <w:r w:rsidR="00DE025D">
        <w:t xml:space="preserve">narrow exception for medically necessary abortions that </w:t>
      </w:r>
      <w:r w:rsidR="00CB69D3">
        <w:t xml:space="preserve">courts in </w:t>
      </w:r>
      <w:r w:rsidR="00DE025D">
        <w:t>other sta</w:t>
      </w:r>
      <w:r w:rsidR="00CD6F51">
        <w:t>tes</w:t>
      </w:r>
      <w:r w:rsidR="009A4DA5">
        <w:t xml:space="preserve"> have extended to public funding</w:t>
      </w:r>
      <w:r w:rsidR="00CD6F51">
        <w:t>.</w:t>
      </w:r>
      <w:r w:rsidR="000C2C4A">
        <w:rPr>
          <w:rStyle w:val="FootnoteReference"/>
        </w:rPr>
        <w:footnoteReference w:id="7"/>
      </w:r>
      <w:r w:rsidR="00CD6F51">
        <w:t xml:space="preserve">  </w:t>
      </w:r>
      <w:r w:rsidR="00CB69D3">
        <w:t>Potential</w:t>
      </w:r>
      <w:r w:rsidR="00337492">
        <w:t xml:space="preserve"> application of this exception within the context of </w:t>
      </w:r>
      <w:r w:rsidR="009A4DA5">
        <w:t xml:space="preserve">Kansas </w:t>
      </w:r>
      <w:r w:rsidR="00337492">
        <w:t>Medicaid services should not constitute cause for alarm.  Ignoring the limited nature of such a ruling, however, does great disservice to members of the Legislature who seek to make wise decisions on behalf of the people of Kansas.</w:t>
      </w:r>
    </w:p>
    <w:p w14:paraId="33EEA518" w14:textId="62388A85" w:rsidR="00DE25DD" w:rsidRDefault="00C12E4C" w:rsidP="007859A0">
      <w:pPr>
        <w:pStyle w:val="NormalWeb"/>
        <w:spacing w:before="120" w:beforeAutospacing="0" w:after="120" w:afterAutospacing="0"/>
        <w:ind w:firstLine="720"/>
      </w:pPr>
      <w:r>
        <w:t xml:space="preserve">It must also be understood that </w:t>
      </w:r>
      <w:r w:rsidR="007B45D1">
        <w:t>government funding</w:t>
      </w:r>
      <w:r w:rsidR="00263C4F">
        <w:t xml:space="preserve"> decisions</w:t>
      </w:r>
      <w:r w:rsidR="00AA0D6C">
        <w:t xml:space="preserve"> involve a separate question from the issue of </w:t>
      </w:r>
      <w:r w:rsidR="001F5B6C">
        <w:t>individual autonomy</w:t>
      </w:r>
      <w:r w:rsidR="00AA0D6C">
        <w:t xml:space="preserve"> addressed </w:t>
      </w:r>
      <w:r w:rsidR="001F5B6C">
        <w:t>by the Kansas Supreme Court</w:t>
      </w:r>
      <w:r w:rsidR="00263C4F">
        <w:t>.  I</w:t>
      </w:r>
      <w:r w:rsidR="00DF0E3B">
        <w:t>n 1980, the United States Supreme Court rejected th</w:t>
      </w:r>
      <w:r w:rsidR="001F5B6C">
        <w:t>e</w:t>
      </w:r>
      <w:r w:rsidR="00DF0E3B">
        <w:t xml:space="preserve"> link</w:t>
      </w:r>
      <w:r w:rsidR="00263C4F">
        <w:t xml:space="preserve"> between autonomy and funding</w:t>
      </w:r>
      <w:r w:rsidR="00DF0E3B">
        <w:t>.</w:t>
      </w:r>
      <w:r w:rsidR="00263C4F" w:rsidRPr="00263C4F">
        <w:rPr>
          <w:rStyle w:val="FootnoteReference"/>
        </w:rPr>
        <w:t xml:space="preserve"> </w:t>
      </w:r>
      <w:r w:rsidR="00263C4F">
        <w:rPr>
          <w:rStyle w:val="FootnoteReference"/>
        </w:rPr>
        <w:footnoteReference w:id="8"/>
      </w:r>
      <w:r w:rsidR="00DF0E3B">
        <w:t xml:space="preserve">  In 2001, t</w:t>
      </w:r>
      <w:r w:rsidR="00263C4F">
        <w:t>he Supreme Court of Florida reached the same conclus</w:t>
      </w:r>
      <w:r w:rsidR="00EB745E">
        <w:t>ion, finding that although the state constitution protects a woman’s right to privacy, including the choice to make abortion decisions,</w:t>
      </w:r>
      <w:r>
        <w:t xml:space="preserve"> that decision-making autonomy</w:t>
      </w:r>
      <w:r w:rsidR="001F5B6C">
        <w:t xml:space="preserve"> did</w:t>
      </w:r>
      <w:r>
        <w:t xml:space="preserve"> not extend to</w:t>
      </w:r>
      <w:r w:rsidR="002E236F">
        <w:t xml:space="preserve"> a right to Medicaid funding even of “medically necessary” abortions.</w:t>
      </w:r>
      <w:r w:rsidR="002E236F">
        <w:rPr>
          <w:rStyle w:val="FootnoteReference"/>
        </w:rPr>
        <w:footnoteReference w:id="9"/>
      </w:r>
      <w:r w:rsidR="002E236F">
        <w:t xml:space="preserve">  The Florida Court followed the reasoning of the United States S</w:t>
      </w:r>
      <w:r w:rsidR="006126B4">
        <w:t>upreme Court, explaining that “</w:t>
      </w:r>
      <w:r w:rsidR="002E236F">
        <w:t xml:space="preserve">There is a big difference between a government making a decision not to fund the exercise of a constitutional right and doing something affirmatively to prohibit, restrict, or interfere with it. . . . It is difficult to see . . . how such a decision could be </w:t>
      </w:r>
      <w:r w:rsidR="00263C4F">
        <w:t>violative</w:t>
      </w:r>
      <w:r w:rsidR="002E236F">
        <w:t xml:space="preserve"> </w:t>
      </w:r>
      <w:r w:rsidR="00263C4F">
        <w:t xml:space="preserve">of </w:t>
      </w:r>
      <w:r w:rsidR="002E236F">
        <w:t>the privacy provision of the Florida Constitution, the heart of wh</w:t>
      </w:r>
      <w:r w:rsidR="00DE25DD">
        <w:t>ich is the right to be let alone</w:t>
      </w:r>
      <w:r w:rsidR="002E236F">
        <w:t xml:space="preserve"> and free from government intrusion into private affairs.”</w:t>
      </w:r>
      <w:r w:rsidR="002E236F">
        <w:rPr>
          <w:rStyle w:val="FootnoteReference"/>
        </w:rPr>
        <w:footnoteReference w:id="10"/>
      </w:r>
    </w:p>
    <w:p w14:paraId="729FB1F6" w14:textId="0B8DFE38" w:rsidR="0018748F" w:rsidRDefault="00DE25DD" w:rsidP="00DE25DD">
      <w:pPr>
        <w:pStyle w:val="NormalWeb"/>
        <w:spacing w:before="120" w:beforeAutospacing="0" w:after="120" w:afterAutospacing="0"/>
        <w:ind w:firstLine="720"/>
      </w:pPr>
      <w:r>
        <w:t>While some</w:t>
      </w:r>
      <w:r w:rsidR="002E236F">
        <w:t xml:space="preserve"> purport to know that Kansas will follow the lead of states </w:t>
      </w:r>
      <w:r w:rsidR="00382BE0">
        <w:t xml:space="preserve">like Indiana or Minnesota </w:t>
      </w:r>
      <w:r w:rsidR="002E236F">
        <w:t xml:space="preserve">rather than the United States Supreme Court </w:t>
      </w:r>
      <w:r>
        <w:t>or the Supreme Court of Florida</w:t>
      </w:r>
      <w:r w:rsidR="00382BE0">
        <w:t>, we cannot</w:t>
      </w:r>
      <w:r w:rsidR="00DF0E3B">
        <w:t xml:space="preserve"> know with certainty how the Kansas Supreme Court would resolve this question.  The cases decided by various state courts</w:t>
      </w:r>
      <w:r w:rsidR="000C2C4A">
        <w:t xml:space="preserve"> </w:t>
      </w:r>
      <w:r w:rsidR="00DF0E3B">
        <w:t>demonstrate the difficulty of the is</w:t>
      </w:r>
      <w:r w:rsidR="001F5B6C">
        <w:t xml:space="preserve">sue, and the </w:t>
      </w:r>
      <w:r w:rsidR="00DF0E3B">
        <w:t>narrowne</w:t>
      </w:r>
      <w:r w:rsidR="001F5B6C">
        <w:t>ss of existing precedent</w:t>
      </w:r>
      <w:r w:rsidR="00DF0E3B">
        <w:t xml:space="preserve">.  </w:t>
      </w:r>
      <w:r w:rsidR="00EB745E">
        <w:t>Th</w:t>
      </w:r>
      <w:r w:rsidR="00382BE0">
        <w:t>os</w:t>
      </w:r>
      <w:r w:rsidR="00EB745E">
        <w:t>e cases also highlight</w:t>
      </w:r>
      <w:r w:rsidR="00DF0E3B">
        <w:t xml:space="preserve"> why now would not be the right time for an amendment to the Kansas Constitution that eliminates state constitutio</w:t>
      </w:r>
      <w:r w:rsidR="00AA0D6C">
        <w:t xml:space="preserve">nal protection, particularly an amendment that would preclude protection for poor women when confronted with pregnancies threatening their life, their health, or resulting from rape or incest.  </w:t>
      </w:r>
      <w:r w:rsidR="00EB745E">
        <w:t>Those who either favor or oppose such an amendment should defer action until t</w:t>
      </w:r>
      <w:r w:rsidR="00AA0D6C">
        <w:t xml:space="preserve">he Kansas Supreme Court has been given the opportunity to address these issues, </w:t>
      </w:r>
      <w:r w:rsidR="00EB745E">
        <w:t>which will both e</w:t>
      </w:r>
      <w:r w:rsidR="00AA0D6C">
        <w:t>xplain the scope of th</w:t>
      </w:r>
      <w:r w:rsidR="00EB745E">
        <w:t>e constitutional right at issue</w:t>
      </w:r>
      <w:r w:rsidR="00382BE0">
        <w:t>,</w:t>
      </w:r>
      <w:r w:rsidR="00EB745E">
        <w:t xml:space="preserve"> and also help to clarify the debate which follows.</w:t>
      </w:r>
    </w:p>
    <w:p w14:paraId="53FCE7AA" w14:textId="37CE9C3A" w:rsidR="00244502" w:rsidRDefault="00382BE0" w:rsidP="00382BE0">
      <w:pPr>
        <w:pStyle w:val="NormalWeb"/>
        <w:spacing w:before="120" w:beforeAutospacing="0" w:after="120" w:afterAutospacing="0"/>
        <w:ind w:firstLine="720"/>
      </w:pPr>
      <w:r>
        <w:t xml:space="preserve">Furthermore, when predicting the impact of the Kansas Supreme Court decision beyond the context of public funding, we should </w:t>
      </w:r>
      <w:r w:rsidR="00244502">
        <w:t>recognize the carefully constrained substance of the Court</w:t>
      </w:r>
      <w:r>
        <w:t>’s</w:t>
      </w:r>
      <w:r w:rsidR="00244502">
        <w:t xml:space="preserve"> opinion.  </w:t>
      </w:r>
      <w:r w:rsidR="00263C4F">
        <w:t>In the f</w:t>
      </w:r>
      <w:r w:rsidR="00244502">
        <w:t>uture</w:t>
      </w:r>
      <w:r w:rsidR="00263C4F">
        <w:t>, the state will have to</w:t>
      </w:r>
      <w:r w:rsidR="00CC754E">
        <w:t xml:space="preserve"> articulate a co</w:t>
      </w:r>
      <w:r w:rsidR="00263C4F">
        <w:t>mpelling need for laws</w:t>
      </w:r>
      <w:r w:rsidR="00CC754E">
        <w:t xml:space="preserve"> that restricts </w:t>
      </w:r>
      <w:r w:rsidR="00263C4F">
        <w:t>wome</w:t>
      </w:r>
      <w:r w:rsidR="00CC754E">
        <w:t>n’s decision</w:t>
      </w:r>
      <w:r w:rsidR="00263C4F">
        <w:t>s, and that</w:t>
      </w:r>
      <w:r w:rsidR="00F52190">
        <w:t xml:space="preserve"> law will need to be</w:t>
      </w:r>
      <w:r w:rsidR="00CC754E">
        <w:t xml:space="preserve"> narrowly tailored to that interest.  </w:t>
      </w:r>
      <w:r w:rsidR="00F52190">
        <w:t xml:space="preserve">In other words, this test requires a legislative purpose genuinely tied to health and safety concerns, and not aimed at restricting choice.  </w:t>
      </w:r>
      <w:r w:rsidR="00CC754E">
        <w:t>The C</w:t>
      </w:r>
      <w:r w:rsidR="00F52190">
        <w:t xml:space="preserve">ourt explicitly recognized </w:t>
      </w:r>
      <w:r w:rsidR="00CC754E">
        <w:t>protecting fetal life and pati</w:t>
      </w:r>
      <w:r w:rsidR="00F52190">
        <w:t xml:space="preserve">ent safety </w:t>
      </w:r>
      <w:r w:rsidR="00CC754E">
        <w:t>as examples of possible compelling interests.  It would be premature to assert that an</w:t>
      </w:r>
      <w:r w:rsidR="00F52190">
        <w:t>y existing Kansas law fails the</w:t>
      </w:r>
      <w:r w:rsidR="00CC754E">
        <w:t xml:space="preserve"> test.</w:t>
      </w:r>
      <w:r w:rsidR="00CC754E">
        <w:rPr>
          <w:rStyle w:val="FootnoteReference"/>
        </w:rPr>
        <w:footnoteReference w:id="11"/>
      </w:r>
      <w:r w:rsidR="00946EF7">
        <w:t xml:space="preserve">  Again, the record supports </w:t>
      </w:r>
      <w:r w:rsidR="00F52190">
        <w:t xml:space="preserve">a need to observe </w:t>
      </w:r>
      <w:r w:rsidR="00946EF7">
        <w:t xml:space="preserve">future results rather than </w:t>
      </w:r>
      <w:r w:rsidR="00F52190">
        <w:t>seek</w:t>
      </w:r>
      <w:r w:rsidR="00946EF7">
        <w:t xml:space="preserve"> an immediate, draconian response.</w:t>
      </w:r>
    </w:p>
    <w:p w14:paraId="15BD4358" w14:textId="2A80AE81" w:rsidR="00946EF7" w:rsidRDefault="00334F3B" w:rsidP="00946EF7">
      <w:pPr>
        <w:pStyle w:val="NormalWeb"/>
        <w:spacing w:before="120" w:beforeAutospacing="0" w:after="120" w:afterAutospacing="0"/>
        <w:ind w:firstLine="720"/>
      </w:pPr>
      <w:r>
        <w:t xml:space="preserve">Kansas Legislature leaders have a unique responsibility to provide accurate information regarding the substance and potential impact of legislation.  Introduction of proposed </w:t>
      </w:r>
      <w:r w:rsidR="00A5350D">
        <w:t xml:space="preserve">constitutional </w:t>
      </w:r>
      <w:r>
        <w:t>amendm</w:t>
      </w:r>
      <w:r w:rsidR="00A5350D">
        <w:t xml:space="preserve">ents </w:t>
      </w:r>
      <w:r>
        <w:t xml:space="preserve">heightens this responsibility.  </w:t>
      </w:r>
      <w:r w:rsidR="00946EF7">
        <w:t>Our leaders</w:t>
      </w:r>
      <w:r>
        <w:t xml:space="preserve"> should reject false claims that Kansas Supreme Court recognition of a woman’s right to make decisions regarding pregnancy and childbirth would dramatically </w:t>
      </w:r>
      <w:r w:rsidR="00946EF7">
        <w:t xml:space="preserve">impact </w:t>
      </w:r>
      <w:r>
        <w:t>public funding of abortions in this state.</w:t>
      </w:r>
      <w:r w:rsidR="00946EF7" w:rsidRPr="00946EF7">
        <w:t xml:space="preserve"> </w:t>
      </w:r>
    </w:p>
    <w:p w14:paraId="35C6058E" w14:textId="78E574C3" w:rsidR="00946EF7" w:rsidRPr="00976A86" w:rsidRDefault="00946EF7" w:rsidP="00946EF7">
      <w:pPr>
        <w:pStyle w:val="NormalWeb"/>
        <w:spacing w:before="120" w:beforeAutospacing="0" w:after="120" w:afterAutospacing="0"/>
        <w:jc w:val="center"/>
        <w:rPr>
          <w:b/>
          <w:bCs/>
        </w:rPr>
      </w:pPr>
      <w:r w:rsidRPr="00976A86">
        <w:rPr>
          <w:b/>
          <w:bCs/>
        </w:rPr>
        <w:t>Conclusion</w:t>
      </w:r>
    </w:p>
    <w:p w14:paraId="3C0F21C4" w14:textId="31D98317" w:rsidR="00334F3B" w:rsidRPr="00DF0E3B" w:rsidRDefault="00334F3B" w:rsidP="00334F3B">
      <w:pPr>
        <w:pStyle w:val="NormalWeb"/>
        <w:spacing w:before="120" w:beforeAutospacing="0" w:after="120" w:afterAutospacing="0"/>
      </w:pPr>
      <w:r>
        <w:tab/>
        <w:t xml:space="preserve">An accurate and complete analysis of court rulings from other states </w:t>
      </w:r>
      <w:r w:rsidR="00946EF7">
        <w:t>support</w:t>
      </w:r>
      <w:r w:rsidR="00F52190">
        <w:t>s</w:t>
      </w:r>
      <w:r w:rsidR="00946EF7">
        <w:t xml:space="preserve"> a prediction</w:t>
      </w:r>
      <w:r>
        <w:t xml:space="preserve"> that the</w:t>
      </w:r>
      <w:r w:rsidR="00946EF7">
        <w:t xml:space="preserve"> recent</w:t>
      </w:r>
      <w:r>
        <w:t xml:space="preserve"> Kansas Supreme Court ruling </w:t>
      </w:r>
      <w:r w:rsidR="002129C5">
        <w:t>w</w:t>
      </w:r>
      <w:r w:rsidR="00946EF7">
        <w:t>ill</w:t>
      </w:r>
      <w:r w:rsidR="002129C5">
        <w:t xml:space="preserve"> either </w:t>
      </w:r>
      <w:r w:rsidR="00946EF7">
        <w:t xml:space="preserve">have </w:t>
      </w:r>
      <w:r w:rsidR="002129C5">
        <w:t>no impact at all or w</w:t>
      </w:r>
      <w:r w:rsidR="00946EF7">
        <w:t>ill</w:t>
      </w:r>
      <w:r w:rsidR="00922A48">
        <w:t xml:space="preserve"> extend public funds to poor women in the event of rape, incest, or medical necessity including either </w:t>
      </w:r>
      <w:r w:rsidR="002129C5">
        <w:t xml:space="preserve">likely </w:t>
      </w:r>
      <w:r w:rsidR="00922A48">
        <w:t xml:space="preserve">death or substantial and irreversible physical impairment of a major bodily function of the pregnant woman. </w:t>
      </w:r>
      <w:r w:rsidR="002129C5">
        <w:t xml:space="preserve"> While </w:t>
      </w:r>
      <w:r w:rsidR="00976A86">
        <w:t>Medicaid funding in the case of narrowly defined medical necessity</w:t>
      </w:r>
      <w:r w:rsidR="00922A48">
        <w:t xml:space="preserve"> </w:t>
      </w:r>
      <w:r w:rsidR="002129C5">
        <w:t>c</w:t>
      </w:r>
      <w:r w:rsidR="00922A48">
        <w:t>ould</w:t>
      </w:r>
      <w:r w:rsidR="002129C5">
        <w:t xml:space="preserve"> impact </w:t>
      </w:r>
      <w:r w:rsidR="00922A48">
        <w:t xml:space="preserve">current law, </w:t>
      </w:r>
      <w:r w:rsidR="002129C5">
        <w:t>it merely recognizes an important protection for maternal health previously embraced</w:t>
      </w:r>
      <w:r w:rsidR="00922A48">
        <w:t xml:space="preserve"> in legislation co-sponsored by Senator Wagle</w:t>
      </w:r>
      <w:r w:rsidR="009A4DA5">
        <w:t xml:space="preserve"> and many others.  That should not </w:t>
      </w:r>
      <w:r w:rsidR="00976A86">
        <w:t>present cause for alarm.</w:t>
      </w:r>
      <w:r w:rsidR="00922A48">
        <w:t xml:space="preserve"> </w:t>
      </w:r>
    </w:p>
    <w:sectPr w:rsidR="00334F3B" w:rsidRPr="00DF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1D40" w14:textId="77777777" w:rsidR="009E6355" w:rsidRDefault="009E6355" w:rsidP="00721DCE">
      <w:pPr>
        <w:spacing w:line="240" w:lineRule="auto"/>
      </w:pPr>
      <w:r>
        <w:separator/>
      </w:r>
    </w:p>
  </w:endnote>
  <w:endnote w:type="continuationSeparator" w:id="0">
    <w:p w14:paraId="1C6E3511" w14:textId="77777777" w:rsidR="009E6355" w:rsidRDefault="009E6355" w:rsidP="00721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4AC5" w14:textId="77777777" w:rsidR="009E6355" w:rsidRDefault="009E6355" w:rsidP="00721DCE">
      <w:pPr>
        <w:spacing w:line="240" w:lineRule="auto"/>
      </w:pPr>
      <w:r>
        <w:separator/>
      </w:r>
    </w:p>
  </w:footnote>
  <w:footnote w:type="continuationSeparator" w:id="0">
    <w:p w14:paraId="6994C51D" w14:textId="77777777" w:rsidR="009E6355" w:rsidRDefault="009E6355" w:rsidP="00721DCE">
      <w:pPr>
        <w:spacing w:line="240" w:lineRule="auto"/>
      </w:pPr>
      <w:r>
        <w:continuationSeparator/>
      </w:r>
    </w:p>
  </w:footnote>
  <w:footnote w:id="1">
    <w:p w14:paraId="0667EADC" w14:textId="77777777" w:rsidR="00B54A95" w:rsidRDefault="00B54A95" w:rsidP="00B54A95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*Professor Bill Rich has more than forty years of experience teaching and writing about constitutional law.  He wrote the three-volume treatise, </w:t>
      </w:r>
      <w:r w:rsidRPr="00CD6F51">
        <w:rPr>
          <w:rStyle w:val="SubtleReference"/>
        </w:rPr>
        <w:t>Modern Constitutional Law</w:t>
      </w:r>
      <w:r>
        <w:rPr>
          <w:sz w:val="20"/>
          <w:szCs w:val="20"/>
        </w:rPr>
        <w:t>, 3</w:t>
      </w:r>
      <w:r w:rsidRPr="00A927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Edition, published by Thomson Reuters.</w:t>
      </w:r>
    </w:p>
    <w:p w14:paraId="5BA9A800" w14:textId="77777777" w:rsidR="00B54A95" w:rsidRDefault="00B54A95" w:rsidP="00B54A95">
      <w:pPr>
        <w:pStyle w:val="FootnoteText"/>
      </w:pPr>
    </w:p>
    <w:p w14:paraId="169EFD0A" w14:textId="77777777" w:rsidR="00B54A95" w:rsidRDefault="00B54A95" w:rsidP="00B54A95">
      <w:pPr>
        <w:pStyle w:val="FootnoteText"/>
      </w:pPr>
      <w:r>
        <w:rPr>
          <w:rStyle w:val="FootnoteReference"/>
        </w:rPr>
        <w:footnoteRef/>
      </w:r>
      <w:r>
        <w:t xml:space="preserve"> Analogies by those who know better between Kansas and states like Connecticut, where the legislature chose to fund </w:t>
      </w:r>
      <w:r w:rsidRPr="00B54A95">
        <w:rPr>
          <w:i/>
          <w:iCs/>
        </w:rPr>
        <w:t>elective</w:t>
      </w:r>
      <w:r>
        <w:t xml:space="preserve"> abortions, appear to embody intentional deception.</w:t>
      </w:r>
    </w:p>
  </w:footnote>
  <w:footnote w:id="2">
    <w:p w14:paraId="4B4EDA48" w14:textId="77777777" w:rsidR="00CC0293" w:rsidRDefault="00CC0293" w:rsidP="00721DC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B18C7C3" w14:textId="77777777" w:rsidR="00721DCE" w:rsidRDefault="00721DCE" w:rsidP="00721DCE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7859A0">
        <w:rPr>
          <w:rStyle w:val="FootnoteReference"/>
          <w:sz w:val="20"/>
          <w:szCs w:val="20"/>
        </w:rPr>
        <w:footnoteRef/>
      </w:r>
      <w:r w:rsidRPr="007859A0">
        <w:rPr>
          <w:sz w:val="20"/>
          <w:szCs w:val="20"/>
        </w:rPr>
        <w:t xml:space="preserve"> </w:t>
      </w:r>
      <w:r w:rsidRPr="007859A0">
        <w:rPr>
          <w:rFonts w:cs="Times New Roman"/>
          <w:i/>
          <w:iCs/>
          <w:sz w:val="20"/>
          <w:szCs w:val="20"/>
        </w:rPr>
        <w:t>Committee to Defend Reproductive Rights v. Myer</w:t>
      </w:r>
      <w:r w:rsidRPr="007859A0">
        <w:rPr>
          <w:rFonts w:cs="Times New Roman"/>
          <w:sz w:val="20"/>
          <w:szCs w:val="20"/>
        </w:rPr>
        <w:t>s, 625 P.2d 779 (Cal. 1981) (relying upon long h</w:t>
      </w:r>
      <w:r w:rsidR="007103DB">
        <w:rPr>
          <w:rFonts w:cs="Times New Roman"/>
          <w:sz w:val="20"/>
          <w:szCs w:val="20"/>
        </w:rPr>
        <w:t>ist</w:t>
      </w:r>
      <w:r w:rsidR="00491007" w:rsidRPr="007859A0">
        <w:rPr>
          <w:rFonts w:cs="Times New Roman"/>
          <w:sz w:val="20"/>
          <w:szCs w:val="20"/>
        </w:rPr>
        <w:t xml:space="preserve">ory of California cases rejecting discrimination or restrictions in government benefits); </w:t>
      </w:r>
      <w:r w:rsidR="00491007" w:rsidRPr="007859A0">
        <w:rPr>
          <w:rFonts w:cs="Times New Roman"/>
          <w:i/>
          <w:iCs/>
          <w:sz w:val="20"/>
          <w:szCs w:val="20"/>
        </w:rPr>
        <w:t xml:space="preserve">Valley Hosp. </w:t>
      </w:r>
      <w:r w:rsidR="00491007" w:rsidRPr="007859A0">
        <w:rPr>
          <w:rFonts w:cs="Times New Roman"/>
          <w:i/>
          <w:iCs/>
          <w:sz w:val="20"/>
          <w:szCs w:val="20"/>
        </w:rPr>
        <w:t>Ass’n v. Mat-Su Coal. for Choice</w:t>
      </w:r>
      <w:r w:rsidR="00491007" w:rsidRPr="007859A0">
        <w:rPr>
          <w:rFonts w:cs="Times New Roman"/>
          <w:sz w:val="20"/>
          <w:szCs w:val="20"/>
        </w:rPr>
        <w:t>, 948 P.2d 963 (Alaska 1997) (stating that quasi-public hospital could not preclude elective abortions, but not addressing questions of government funding).</w:t>
      </w:r>
    </w:p>
    <w:p w14:paraId="70B441E1" w14:textId="77777777" w:rsidR="00CC0293" w:rsidRPr="007859A0" w:rsidRDefault="00CC0293" w:rsidP="00721DCE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</w:footnote>
  <w:footnote w:id="3">
    <w:p w14:paraId="4E503DDD" w14:textId="77777777" w:rsidR="0092653D" w:rsidRDefault="0092653D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859A0">
        <w:rPr>
          <w:rFonts w:cs="Times New Roman"/>
          <w:i/>
          <w:iCs/>
        </w:rPr>
        <w:t>Moe v. Secretary of Administration &amp; Finance</w:t>
      </w:r>
      <w:r w:rsidRPr="007859A0">
        <w:rPr>
          <w:rFonts w:cs="Times New Roman"/>
        </w:rPr>
        <w:t>, 417 N.E.2d 387 (Mass. 1981) (extending public coverage to “medically necessary” abortio</w:t>
      </w:r>
      <w:r>
        <w:rPr>
          <w:rFonts w:cs="Times New Roman"/>
        </w:rPr>
        <w:t>ns).</w:t>
      </w:r>
    </w:p>
    <w:p w14:paraId="77621B20" w14:textId="77777777" w:rsidR="00CC0293" w:rsidRDefault="00CC0293">
      <w:pPr>
        <w:pStyle w:val="FootnoteText"/>
      </w:pPr>
    </w:p>
  </w:footnote>
  <w:footnote w:id="4">
    <w:p w14:paraId="09B7A4A6" w14:textId="77777777" w:rsidR="0092653D" w:rsidRDefault="0092653D" w:rsidP="0092653D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7859A0">
        <w:rPr>
          <w:rStyle w:val="FootnoteReference"/>
          <w:sz w:val="20"/>
          <w:szCs w:val="20"/>
        </w:rPr>
        <w:footnoteRef/>
      </w:r>
      <w:r w:rsidRPr="007859A0">
        <w:rPr>
          <w:sz w:val="20"/>
          <w:szCs w:val="20"/>
        </w:rPr>
        <w:t xml:space="preserve"> </w:t>
      </w:r>
      <w:r w:rsidRPr="007859A0">
        <w:rPr>
          <w:rFonts w:cs="Times New Roman"/>
          <w:i/>
          <w:iCs/>
          <w:sz w:val="20"/>
          <w:szCs w:val="20"/>
        </w:rPr>
        <w:t>Humphreys v. Clinic for Women</w:t>
      </w:r>
      <w:r w:rsidRPr="007859A0">
        <w:rPr>
          <w:rFonts w:cs="Times New Roman"/>
          <w:sz w:val="20"/>
          <w:szCs w:val="20"/>
        </w:rPr>
        <w:t xml:space="preserve">, </w:t>
      </w:r>
      <w:r w:rsidRPr="007859A0">
        <w:rPr>
          <w:rFonts w:cs="Times New Roman"/>
          <w:i/>
          <w:iCs/>
          <w:sz w:val="20"/>
          <w:szCs w:val="20"/>
        </w:rPr>
        <w:t>Inc</w:t>
      </w:r>
      <w:r w:rsidRPr="007859A0">
        <w:rPr>
          <w:rFonts w:cs="Times New Roman"/>
          <w:sz w:val="20"/>
          <w:szCs w:val="20"/>
        </w:rPr>
        <w:t>., 796 N.E.2d 247, 260 (Ind. 2003).</w:t>
      </w:r>
    </w:p>
    <w:p w14:paraId="653417E5" w14:textId="77777777" w:rsidR="00CC0293" w:rsidRDefault="00CC0293" w:rsidP="0092653D">
      <w:pPr>
        <w:autoSpaceDE w:val="0"/>
        <w:autoSpaceDN w:val="0"/>
        <w:adjustRightInd w:val="0"/>
        <w:spacing w:line="240" w:lineRule="auto"/>
      </w:pPr>
    </w:p>
  </w:footnote>
  <w:footnote w:id="5">
    <w:p w14:paraId="1A8590BF" w14:textId="570E1533" w:rsidR="00721DCE" w:rsidRDefault="00721DCE" w:rsidP="007859A0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7859A0">
        <w:rPr>
          <w:rStyle w:val="FootnoteReference"/>
          <w:rFonts w:cs="Times New Roman"/>
          <w:sz w:val="20"/>
          <w:szCs w:val="20"/>
        </w:rPr>
        <w:footnoteRef/>
      </w:r>
      <w:r w:rsidRPr="007859A0">
        <w:rPr>
          <w:rFonts w:cs="Times New Roman"/>
          <w:sz w:val="20"/>
          <w:szCs w:val="20"/>
        </w:rPr>
        <w:t xml:space="preserve"> </w:t>
      </w:r>
      <w:r w:rsidRPr="007859A0">
        <w:rPr>
          <w:rFonts w:cs="Times New Roman"/>
          <w:i/>
          <w:sz w:val="20"/>
          <w:szCs w:val="20"/>
        </w:rPr>
        <w:t>See</w:t>
      </w:r>
      <w:r w:rsidRPr="007859A0">
        <w:rPr>
          <w:rFonts w:cs="Times New Roman"/>
          <w:sz w:val="20"/>
          <w:szCs w:val="20"/>
        </w:rPr>
        <w:t xml:space="preserve"> </w:t>
      </w:r>
      <w:r w:rsidRPr="007859A0">
        <w:rPr>
          <w:rFonts w:cs="Times New Roman"/>
          <w:i/>
          <w:iCs/>
          <w:sz w:val="20"/>
          <w:szCs w:val="20"/>
        </w:rPr>
        <w:t>State of Alaska</w:t>
      </w:r>
      <w:r w:rsidRPr="007859A0">
        <w:rPr>
          <w:rFonts w:cs="Times New Roman"/>
          <w:sz w:val="20"/>
          <w:szCs w:val="20"/>
        </w:rPr>
        <w:t xml:space="preserve">, </w:t>
      </w:r>
      <w:r w:rsidRPr="007859A0">
        <w:rPr>
          <w:rFonts w:cs="Times New Roman"/>
          <w:i/>
          <w:iCs/>
          <w:sz w:val="20"/>
          <w:szCs w:val="20"/>
        </w:rPr>
        <w:t>Dep’t of Health &amp; Human Services v. Planned Parenthood of Alaska</w:t>
      </w:r>
      <w:r w:rsidRPr="007859A0">
        <w:rPr>
          <w:rFonts w:cs="Times New Roman"/>
          <w:sz w:val="20"/>
          <w:szCs w:val="20"/>
        </w:rPr>
        <w:t xml:space="preserve">, </w:t>
      </w:r>
      <w:r w:rsidRPr="007859A0">
        <w:rPr>
          <w:rFonts w:cs="Times New Roman"/>
          <w:i/>
          <w:iCs/>
          <w:sz w:val="20"/>
          <w:szCs w:val="20"/>
        </w:rPr>
        <w:t>Inc</w:t>
      </w:r>
      <w:r w:rsidRPr="007859A0">
        <w:rPr>
          <w:rFonts w:cs="Times New Roman"/>
          <w:sz w:val="20"/>
          <w:szCs w:val="20"/>
        </w:rPr>
        <w:t xml:space="preserve">., 28 P.3d 904 (Alaska 2001) (explicitly noting that the opinion did not apply to elective abortions); </w:t>
      </w:r>
      <w:r w:rsidRPr="007859A0">
        <w:rPr>
          <w:rFonts w:cs="Times New Roman"/>
          <w:i/>
          <w:iCs/>
          <w:sz w:val="20"/>
          <w:szCs w:val="20"/>
        </w:rPr>
        <w:t>Women of the State of Minnesota v. Gomez</w:t>
      </w:r>
      <w:r w:rsidRPr="007859A0">
        <w:rPr>
          <w:rFonts w:cs="Times New Roman"/>
          <w:sz w:val="20"/>
          <w:szCs w:val="20"/>
        </w:rPr>
        <w:t xml:space="preserve">, 542 N.W.2d 17 (Minn. 1995) (explicitly emphasizing that “our decision </w:t>
      </w:r>
      <w:r w:rsidR="00CD6F51">
        <w:rPr>
          <w:rFonts w:cs="Times New Roman"/>
          <w:sz w:val="20"/>
          <w:szCs w:val="20"/>
        </w:rPr>
        <w:t>is limited to the class of plai</w:t>
      </w:r>
      <w:r w:rsidRPr="007859A0">
        <w:rPr>
          <w:rFonts w:cs="Times New Roman"/>
          <w:sz w:val="20"/>
          <w:szCs w:val="20"/>
        </w:rPr>
        <w:t xml:space="preserve">ntiffs certified by the district court and the narrow statutory provisions at issue in this case” involving “medically necessary abortions”; </w:t>
      </w:r>
      <w:r w:rsidRPr="007859A0">
        <w:rPr>
          <w:rFonts w:cs="Times New Roman"/>
          <w:i/>
          <w:iCs/>
          <w:sz w:val="20"/>
          <w:szCs w:val="20"/>
        </w:rPr>
        <w:t>Right to Choose v. Byrne</w:t>
      </w:r>
      <w:r w:rsidRPr="007859A0">
        <w:rPr>
          <w:rFonts w:cs="Times New Roman"/>
          <w:sz w:val="20"/>
          <w:szCs w:val="20"/>
        </w:rPr>
        <w:t xml:space="preserve">, 450 A.2d 925 (N.J. 1982) (finding no constitutional violation after construing state statute </w:t>
      </w:r>
      <w:r w:rsidR="00334621" w:rsidRPr="007859A0">
        <w:rPr>
          <w:rFonts w:cs="Times New Roman"/>
          <w:sz w:val="20"/>
          <w:szCs w:val="20"/>
        </w:rPr>
        <w:t>to fund abortions deemed medically necessary to preserve life or health of a woman, also including instances of rape or incest, noting that “the state may not use its treasury to persuade a poor woman to sacrifice her health by remaining pregnant,” and that “determination of  ‘medical necessity’ is the proper province of physicians”</w:t>
      </w:r>
      <w:r w:rsidR="00491007" w:rsidRPr="007859A0">
        <w:rPr>
          <w:rFonts w:cs="Times New Roman"/>
          <w:sz w:val="20"/>
          <w:szCs w:val="20"/>
        </w:rPr>
        <w:t xml:space="preserve">); </w:t>
      </w:r>
      <w:r w:rsidR="00491007" w:rsidRPr="007859A0">
        <w:rPr>
          <w:rFonts w:cs="Times New Roman"/>
          <w:i/>
          <w:iCs/>
          <w:sz w:val="20"/>
          <w:szCs w:val="20"/>
        </w:rPr>
        <w:t>Doe v. Maher</w:t>
      </w:r>
      <w:r w:rsidR="00491007" w:rsidRPr="007859A0">
        <w:rPr>
          <w:rFonts w:cs="Times New Roman"/>
          <w:sz w:val="20"/>
          <w:szCs w:val="20"/>
        </w:rPr>
        <w:t xml:space="preserve">, 515 A.2d 134 (Conn. Super. Ct. 1986) (protecting finding for medically necessary abortions); </w:t>
      </w:r>
      <w:r w:rsidR="007859A0" w:rsidRPr="007859A0">
        <w:rPr>
          <w:rFonts w:cs="Times New Roman"/>
          <w:i/>
          <w:iCs/>
          <w:sz w:val="20"/>
          <w:szCs w:val="20"/>
        </w:rPr>
        <w:t>Simat Corp. v. Arizona Health Care Cost Containment System</w:t>
      </w:r>
      <w:r w:rsidR="007859A0" w:rsidRPr="007859A0">
        <w:rPr>
          <w:rFonts w:cs="Times New Roman"/>
          <w:sz w:val="20"/>
          <w:szCs w:val="20"/>
        </w:rPr>
        <w:t xml:space="preserve">, 56 P.3d 28 (Ariz. 2002) (funding abortions where deemed “medically necessary to save their health and thus prolong their life”); </w:t>
      </w:r>
      <w:r w:rsidR="007859A0" w:rsidRPr="007859A0">
        <w:rPr>
          <w:rFonts w:cs="Times New Roman"/>
          <w:i/>
          <w:iCs/>
          <w:sz w:val="20"/>
          <w:szCs w:val="20"/>
        </w:rPr>
        <w:t>Women’s Health Center of West Virginia</w:t>
      </w:r>
      <w:r w:rsidR="007859A0" w:rsidRPr="007859A0">
        <w:rPr>
          <w:rFonts w:cs="Times New Roman"/>
          <w:sz w:val="20"/>
          <w:szCs w:val="20"/>
        </w:rPr>
        <w:t xml:space="preserve">, </w:t>
      </w:r>
      <w:r w:rsidR="007859A0" w:rsidRPr="007859A0">
        <w:rPr>
          <w:rFonts w:cs="Times New Roman"/>
          <w:i/>
          <w:iCs/>
          <w:sz w:val="20"/>
          <w:szCs w:val="20"/>
        </w:rPr>
        <w:t>Inc. v. Panepinto</w:t>
      </w:r>
      <w:r w:rsidR="007859A0" w:rsidRPr="007859A0">
        <w:rPr>
          <w:rFonts w:cs="Times New Roman"/>
          <w:sz w:val="20"/>
          <w:szCs w:val="20"/>
        </w:rPr>
        <w:t>, 446 S.E.2d 658 (W. Va. 1993) (protecting med</w:t>
      </w:r>
      <w:r w:rsidR="00BA122E">
        <w:rPr>
          <w:rFonts w:cs="Times New Roman"/>
          <w:sz w:val="20"/>
          <w:szCs w:val="20"/>
        </w:rPr>
        <w:t xml:space="preserve">ically necessary abortion care); </w:t>
      </w:r>
      <w:r w:rsidR="00BA122E" w:rsidRPr="00BA122E">
        <w:rPr>
          <w:rFonts w:cs="Times New Roman"/>
          <w:i/>
          <w:sz w:val="20"/>
          <w:szCs w:val="20"/>
        </w:rPr>
        <w:t>New Mexico Right to Choose/NARAL v. Johnson</w:t>
      </w:r>
      <w:r w:rsidR="00BA122E">
        <w:rPr>
          <w:rFonts w:cs="Times New Roman"/>
          <w:sz w:val="20"/>
          <w:szCs w:val="20"/>
        </w:rPr>
        <w:t>, 975 P.2d 841 (N.M. 1998) (ruling that the New Mexico Equal Rights Amendment gave the District Court authority to order payment for medically necessary abortions for Medicaid-eligible women).</w:t>
      </w:r>
    </w:p>
    <w:p w14:paraId="110EC016" w14:textId="77777777" w:rsidR="00CC0293" w:rsidRPr="007859A0" w:rsidRDefault="00CC0293" w:rsidP="007859A0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</w:footnote>
  <w:footnote w:id="6">
    <w:p w14:paraId="7DEBD784" w14:textId="77777777" w:rsidR="00DE025D" w:rsidRDefault="00DE025D">
      <w:pPr>
        <w:pStyle w:val="FootnoteText"/>
      </w:pPr>
      <w:r>
        <w:rPr>
          <w:rStyle w:val="FootnoteReference"/>
        </w:rPr>
        <w:footnoteRef/>
      </w:r>
      <w:r>
        <w:t xml:space="preserve"> K.S.A. 65-6743(a).  That very law was befor</w:t>
      </w:r>
      <w:r w:rsidR="00337492">
        <w:t xml:space="preserve">e the Kansas Supreme Court in the case of </w:t>
      </w:r>
      <w:r w:rsidR="00337492" w:rsidRPr="00C12E4C">
        <w:rPr>
          <w:i/>
        </w:rPr>
        <w:t>Hodes &amp; Nauser, MD’s, P.A. v. Schmidt</w:t>
      </w:r>
      <w:r w:rsidR="00337492">
        <w:rPr>
          <w:i/>
        </w:rPr>
        <w:t>,</w:t>
      </w:r>
      <w:r w:rsidR="00337492">
        <w:t xml:space="preserve"> 440 P.3d 461 (Kan. 2019) (</w:t>
      </w:r>
      <w:r w:rsidR="00337492" w:rsidRPr="008D1FB1">
        <w:rPr>
          <w:i/>
        </w:rPr>
        <w:t>per curiam</w:t>
      </w:r>
      <w:r w:rsidR="00337492">
        <w:t xml:space="preserve">).  In that case, the Court </w:t>
      </w:r>
      <w:r w:rsidR="006E5135">
        <w:t>recognized the potentially compelling nature of state interest in promoting or protecting fetal life and patient safety.  (</w:t>
      </w:r>
      <w:r w:rsidR="006E5135">
        <w:rPr>
          <w:i/>
        </w:rPr>
        <w:t xml:space="preserve">Id. </w:t>
      </w:r>
      <w:r w:rsidR="006E5135" w:rsidRPr="006E5135">
        <w:t xml:space="preserve"> at</w:t>
      </w:r>
      <w:r w:rsidR="006E5135">
        <w:rPr>
          <w:b/>
          <w:i/>
        </w:rPr>
        <w:t xml:space="preserve"> </w:t>
      </w:r>
      <w:r w:rsidR="006E5135">
        <w:t>501.)  The opinion, however, did not address separate questions about government funding.</w:t>
      </w:r>
    </w:p>
    <w:p w14:paraId="5BB7E6C0" w14:textId="77777777" w:rsidR="00CC0293" w:rsidRDefault="00CC0293">
      <w:pPr>
        <w:pStyle w:val="FootnoteText"/>
      </w:pPr>
    </w:p>
  </w:footnote>
  <w:footnote w:id="7">
    <w:p w14:paraId="5C7C1829" w14:textId="590572B2" w:rsidR="000C2C4A" w:rsidRDefault="000C2C4A">
      <w:pPr>
        <w:pStyle w:val="FootnoteText"/>
      </w:pPr>
      <w:r>
        <w:rPr>
          <w:rStyle w:val="FootnoteReference"/>
        </w:rPr>
        <w:footnoteRef/>
      </w:r>
      <w:r w:rsidR="00CB69D3">
        <w:t xml:space="preserve"> Although precise wording of such an exception may differ, language used by both Indiana and Kansas provides the most useful current guide</w:t>
      </w:r>
      <w:r>
        <w:t>.</w:t>
      </w:r>
      <w:r w:rsidR="00CB69D3">
        <w:t xml:space="preserve">  It would be premature to speculate that the Kansas Supreme Court would require a broader exception, and this is one more reason for waiting before adopting a state constitutional amendment.</w:t>
      </w:r>
    </w:p>
    <w:p w14:paraId="27A292E3" w14:textId="77777777" w:rsidR="000C2C4A" w:rsidRDefault="000C2C4A">
      <w:pPr>
        <w:pStyle w:val="FootnoteText"/>
      </w:pPr>
    </w:p>
  </w:footnote>
  <w:footnote w:id="8">
    <w:p w14:paraId="0800A569" w14:textId="77777777" w:rsidR="00263C4F" w:rsidRDefault="00263C4F" w:rsidP="00263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Harris v. McRae, </w:t>
      </w:r>
      <w:r w:rsidRPr="007859A0">
        <w:t>448 U.S. 297 (1980) (finding no constitutional right to government funding of abortions under either 5</w:t>
      </w:r>
      <w:r w:rsidRPr="007859A0">
        <w:rPr>
          <w:vertAlign w:val="superscript"/>
        </w:rPr>
        <w:t>th</w:t>
      </w:r>
      <w:r w:rsidRPr="007859A0">
        <w:t xml:space="preserve"> Amendment due process arguments or 1</w:t>
      </w:r>
      <w:r w:rsidRPr="007859A0">
        <w:rPr>
          <w:vertAlign w:val="superscript"/>
        </w:rPr>
        <w:t>st</w:t>
      </w:r>
      <w:r w:rsidRPr="007859A0">
        <w:t xml:space="preserve"> Amendment arguments based upon the Establishment Clause</w:t>
      </w:r>
      <w:r>
        <w:rPr>
          <w:i/>
        </w:rPr>
        <w:t>).</w:t>
      </w:r>
    </w:p>
    <w:p w14:paraId="1BD65B61" w14:textId="77777777" w:rsidR="00263C4F" w:rsidRPr="00CC0293" w:rsidRDefault="00263C4F" w:rsidP="00263C4F">
      <w:pPr>
        <w:pStyle w:val="FootnoteText"/>
      </w:pPr>
    </w:p>
  </w:footnote>
  <w:footnote w:id="9">
    <w:p w14:paraId="786803E9" w14:textId="77777777" w:rsidR="002E236F" w:rsidRDefault="002E236F">
      <w:pPr>
        <w:pStyle w:val="FootnoteText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E236F">
        <w:rPr>
          <w:rFonts w:cs="Times New Roman"/>
          <w:i/>
          <w:iCs/>
          <w:szCs w:val="24"/>
        </w:rPr>
        <w:t xml:space="preserve">Renee B. v. Florida Agency for Health Care Administration, </w:t>
      </w:r>
      <w:r w:rsidRPr="002E236F">
        <w:rPr>
          <w:rFonts w:cs="Times New Roman"/>
          <w:szCs w:val="24"/>
        </w:rPr>
        <w:t>790 So.2d 1036 (Fla. 2001).</w:t>
      </w:r>
    </w:p>
    <w:p w14:paraId="496B018C" w14:textId="77777777" w:rsidR="00CC0293" w:rsidRDefault="00CC0293">
      <w:pPr>
        <w:pStyle w:val="FootnoteText"/>
      </w:pPr>
    </w:p>
  </w:footnote>
  <w:footnote w:id="10">
    <w:p w14:paraId="29273419" w14:textId="52E00625" w:rsidR="002E236F" w:rsidRDefault="002E23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1040.</w:t>
      </w:r>
      <w:r w:rsidR="000C2C4A">
        <w:t xml:space="preserve">  Both the United States Supreme Court and the Florida Supreme Court made these decisions at a time when they applied the same “strict scrutiny” standard recently adopted by the Kansas Supreme Court.</w:t>
      </w:r>
    </w:p>
    <w:p w14:paraId="77588A70" w14:textId="77777777" w:rsidR="00A5350D" w:rsidRPr="002E236F" w:rsidRDefault="00A5350D">
      <w:pPr>
        <w:pStyle w:val="FootnoteText"/>
      </w:pPr>
    </w:p>
  </w:footnote>
  <w:footnote w:id="11">
    <w:p w14:paraId="67BE72B9" w14:textId="304B6A65" w:rsidR="00CC754E" w:rsidRDefault="00CC754E">
      <w:pPr>
        <w:pStyle w:val="FootnoteText"/>
      </w:pPr>
      <w:r>
        <w:rPr>
          <w:rStyle w:val="FootnoteReference"/>
        </w:rPr>
        <w:footnoteRef/>
      </w:r>
      <w:r>
        <w:t xml:space="preserve"> Even in the recent </w:t>
      </w:r>
      <w:r w:rsidRPr="000822F8">
        <w:rPr>
          <w:i/>
          <w:iCs/>
        </w:rPr>
        <w:t>Hodes &amp; Nauser</w:t>
      </w:r>
      <w:r>
        <w:t xml:space="preserve"> case, the Justices remanded the case to the trial court for a factual determination of whether the law restricting “D &amp; E” abortion procedures</w:t>
      </w:r>
      <w:r w:rsidR="000822F8">
        <w:t xml:space="preserve"> met that test rather than striking down the legislation.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F"/>
    <w:rsid w:val="00021E30"/>
    <w:rsid w:val="0002329F"/>
    <w:rsid w:val="000822F8"/>
    <w:rsid w:val="000C2C4A"/>
    <w:rsid w:val="00121809"/>
    <w:rsid w:val="0018748F"/>
    <w:rsid w:val="001D295D"/>
    <w:rsid w:val="001F5B6C"/>
    <w:rsid w:val="002129C5"/>
    <w:rsid w:val="00220563"/>
    <w:rsid w:val="00244502"/>
    <w:rsid w:val="00263C4F"/>
    <w:rsid w:val="00281849"/>
    <w:rsid w:val="002B2E74"/>
    <w:rsid w:val="002E236F"/>
    <w:rsid w:val="00334621"/>
    <w:rsid w:val="00334F3B"/>
    <w:rsid w:val="00337492"/>
    <w:rsid w:val="00382BE0"/>
    <w:rsid w:val="00446C57"/>
    <w:rsid w:val="00491007"/>
    <w:rsid w:val="00497352"/>
    <w:rsid w:val="005049A8"/>
    <w:rsid w:val="005963BF"/>
    <w:rsid w:val="006126B4"/>
    <w:rsid w:val="006E5135"/>
    <w:rsid w:val="007103DB"/>
    <w:rsid w:val="00721DCE"/>
    <w:rsid w:val="007859A0"/>
    <w:rsid w:val="007B45D1"/>
    <w:rsid w:val="00813BFF"/>
    <w:rsid w:val="008D1FB1"/>
    <w:rsid w:val="00922A48"/>
    <w:rsid w:val="0092653D"/>
    <w:rsid w:val="00946EF7"/>
    <w:rsid w:val="00976A86"/>
    <w:rsid w:val="00982789"/>
    <w:rsid w:val="009A4DA5"/>
    <w:rsid w:val="009B700B"/>
    <w:rsid w:val="009D7F57"/>
    <w:rsid w:val="009E6355"/>
    <w:rsid w:val="00A24F83"/>
    <w:rsid w:val="00A5350D"/>
    <w:rsid w:val="00A6344B"/>
    <w:rsid w:val="00A9274C"/>
    <w:rsid w:val="00AA0D6C"/>
    <w:rsid w:val="00B54A95"/>
    <w:rsid w:val="00B70030"/>
    <w:rsid w:val="00BA122E"/>
    <w:rsid w:val="00BE6CDD"/>
    <w:rsid w:val="00C12E4C"/>
    <w:rsid w:val="00C716F0"/>
    <w:rsid w:val="00CB69D3"/>
    <w:rsid w:val="00CC0293"/>
    <w:rsid w:val="00CC1E0A"/>
    <w:rsid w:val="00CC754E"/>
    <w:rsid w:val="00CD6F51"/>
    <w:rsid w:val="00CF6F82"/>
    <w:rsid w:val="00DE025D"/>
    <w:rsid w:val="00DE25DD"/>
    <w:rsid w:val="00DF0E3B"/>
    <w:rsid w:val="00E846CC"/>
    <w:rsid w:val="00EB745E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1297"/>
  <w15:chartTrackingRefBased/>
  <w15:docId w15:val="{01091B2C-7C47-4031-8637-195F862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4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DC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DCE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CD6F5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Rich</dc:creator>
  <cp:keywords/>
  <dc:description/>
  <cp:lastModifiedBy>Bradley</cp:lastModifiedBy>
  <cp:revision>2</cp:revision>
  <cp:lastPrinted>2020-02-21T22:27:00Z</cp:lastPrinted>
  <dcterms:created xsi:type="dcterms:W3CDTF">2020-02-29T15:24:00Z</dcterms:created>
  <dcterms:modified xsi:type="dcterms:W3CDTF">2020-02-29T15:24:00Z</dcterms:modified>
</cp:coreProperties>
</file>